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Cs w:val="24"/>
          <w:u w:val="single"/>
        </w:rPr>
      </w:pPr>
      <w:bookmarkStart w:id="0" w:name="_GoBack"/>
      <w:bookmarkEnd w:id="0"/>
      <w:r>
        <w:rPr>
          <w:b/>
          <w:szCs w:val="24"/>
          <w:u w:val="single"/>
        </w:rPr>
        <w:t>GRANT OF PROBATE/LETTERS OF ADMINISTRATION</w:t>
      </w:r>
    </w:p>
    <w:p>
      <w:pPr>
        <w:rPr>
          <w:b/>
          <w:szCs w:val="24"/>
        </w:rPr>
      </w:pPr>
    </w:p>
    <w:p>
      <w:pPr>
        <w:rPr>
          <w:b/>
          <w:szCs w:val="24"/>
        </w:rPr>
      </w:pPr>
      <w:r>
        <w:rPr>
          <w:b/>
          <w:szCs w:val="24"/>
        </w:rPr>
        <w:t>Selling as PER – will answer reqs to the best of their knowledge.</w:t>
      </w:r>
    </w:p>
    <w:p>
      <w:pPr>
        <w:rPr>
          <w:spacing w:val="-3"/>
        </w:rPr>
      </w:pPr>
      <w:r>
        <w:rPr>
          <w:spacing w:val="-3"/>
        </w:rPr>
        <w:t>By virtue of this Contract the vendors sell their beneficial entitlement to an interest in the premises in sale by virtue of the Will and Probate in the estate of  [CAN:Name.Deceased#??].  As such, the vendors shall reply to requisitions on title to the best of their knowledge, information and belief.</w:t>
      </w:r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</w:p>
    <w:p>
      <w:pPr>
        <w:rPr>
          <w:b/>
          <w:szCs w:val="24"/>
        </w:rPr>
      </w:pPr>
      <w:r>
        <w:rPr>
          <w:b/>
          <w:szCs w:val="24"/>
        </w:rPr>
        <w:t>Where Grant of Probate has not Issued</w:t>
      </w:r>
    </w:p>
    <w:p>
      <w:pPr>
        <w:rPr>
          <w:b/>
          <w:szCs w:val="24"/>
        </w:rPr>
      </w:pPr>
    </w:p>
    <w:p>
      <w:pPr>
        <w:rPr>
          <w:spacing w:val="-3"/>
        </w:rPr>
      </w:pPr>
      <w:r>
        <w:rPr>
          <w:spacing w:val="-3"/>
        </w:rPr>
        <w:t>The Vendors have applied for a Grant of Probate in the estate of the late [CAN:Name.Deceased#??].</w:t>
      </w:r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  <w:r>
        <w:rPr>
          <w:spacing w:val="-3"/>
        </w:rPr>
        <w:t>The closing date shall be 7 days after the issue of the Grant of Probate.</w:t>
      </w:r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</w:p>
    <w:p/>
    <w:p>
      <w:pPr>
        <w:rPr>
          <w:szCs w:val="24"/>
          <w:u w:val="single"/>
        </w:rPr>
      </w:pPr>
      <w:r>
        <w:rPr>
          <w:szCs w:val="24"/>
          <w:u w:val="single"/>
        </w:rPr>
        <w:t>Where Affidavit Of Survivorship Needs To Be Provided</w:t>
      </w:r>
    </w:p>
    <w:p>
      <w:pPr>
        <w:jc w:val="center"/>
      </w:pPr>
    </w:p>
    <w:p>
      <w:pPr>
        <w:rPr>
          <w:spacing w:val="-3"/>
        </w:rPr>
      </w:pPr>
      <w:r>
        <w:rPr>
          <w:spacing w:val="-3"/>
        </w:rPr>
        <w:t xml:space="preserve">On completion, the Purchaser shall be furnished with a Declaration of the Vendors in the form of the draft referred to at entry number  </w:t>
      </w:r>
      <w:r>
        <w:rPr>
          <w:spacing w:val="-3"/>
        </w:rPr>
        <w:fldChar w:fldCharType="begin">
          <w:ffData>
            <w:name w:val="Text47"/>
            <w:enabled/>
            <w:calcOnExit w:val="0"/>
            <w:textInput/>
          </w:ffData>
        </w:fldChar>
      </w:r>
      <w:bookmarkStart w:id="1" w:name="Text47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of the document schedule dealing with the death of  </w:t>
      </w:r>
      <w:r>
        <w:rPr>
          <w:spacing w:val="-3"/>
        </w:rPr>
        <w:fldChar w:fldCharType="begin">
          <w:ffData>
            <w:name w:val="Text50"/>
            <w:enabled/>
            <w:calcOnExit w:val="0"/>
            <w:textInput/>
          </w:ffData>
        </w:fldChar>
      </w:r>
      <w:bookmarkStart w:id="2" w:name="Text50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2"/>
      <w:r>
        <w:rPr>
          <w:spacing w:val="-3"/>
        </w:rPr>
        <w:t xml:space="preserve">.  The Purchaser shall accept the contents of the said Declaration to the intent that on the death of  </w:t>
      </w:r>
      <w:r>
        <w:rPr>
          <w:spacing w:val="-3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3" w:name="Text49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3"/>
      <w:r>
        <w:rPr>
          <w:spacing w:val="-3"/>
        </w:rPr>
        <w:t>, the entire legal and beneficial interest in the Premises in sale became vested in the late [CAN:Name.Deceased#??].</w:t>
      </w:r>
    </w:p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AB08968-55EA-42D3-A4D9-9060DE7C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